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2D22CCD5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stavební práce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963F00">
        <w:rPr>
          <w:rFonts w:ascii="Arial" w:eastAsia="Arial" w:hAnsi="Arial" w:cs="Arial"/>
          <w:b/>
          <w:sz w:val="22"/>
          <w:szCs w:val="22"/>
        </w:rPr>
        <w:t>1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>ZŠ</w:t>
      </w:r>
      <w:r w:rsidR="00963F00">
        <w:rPr>
          <w:rFonts w:ascii="Arial" w:hAnsi="Arial" w:cs="Arial"/>
          <w:b/>
          <w:sz w:val="22"/>
          <w:szCs w:val="22"/>
        </w:rPr>
        <w:t xml:space="preserve"> Mánesova II. etapa </w:t>
      </w:r>
      <w:r w:rsidR="00D64E04" w:rsidRPr="00D64E04">
        <w:rPr>
          <w:rFonts w:ascii="Arial" w:hAnsi="Arial" w:cs="Arial"/>
          <w:b/>
          <w:sz w:val="22"/>
          <w:szCs w:val="22"/>
        </w:rPr>
        <w:t>– stavební práce</w:t>
      </w:r>
      <w:bookmarkEnd w:id="2"/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6249AA"/>
    <w:rsid w:val="00634B36"/>
    <w:rsid w:val="006A06DD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63F00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64E0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24</cp:revision>
  <dcterms:created xsi:type="dcterms:W3CDTF">2023-02-16T16:27:00Z</dcterms:created>
  <dcterms:modified xsi:type="dcterms:W3CDTF">2025-03-07T11:16:00Z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